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50" w:afterLines="50" w:line="480" w:lineRule="auto"/>
        <w:jc w:val="center"/>
        <w:rPr>
          <w:rFonts w:eastAsia="仿宋_GB2312"/>
          <w:b/>
          <w:sz w:val="24"/>
        </w:rPr>
      </w:pPr>
      <w:r>
        <w:rPr>
          <w:rFonts w:hint="eastAsia" w:eastAsia="仿宋_GB2312"/>
          <w:b/>
          <w:sz w:val="24"/>
        </w:rPr>
        <w:t>体育学院</w:t>
      </w:r>
      <w:r>
        <w:rPr>
          <w:rFonts w:hint="eastAsia" w:eastAsia="仿宋_GB2312"/>
          <w:b/>
          <w:sz w:val="24"/>
          <w:lang w:eastAsia="zh-CN"/>
        </w:rPr>
        <w:t>教师</w:t>
      </w:r>
      <w:r>
        <w:rPr>
          <w:rFonts w:hint="eastAsia" w:eastAsia="仿宋_GB2312"/>
          <w:b/>
          <w:sz w:val="24"/>
        </w:rPr>
        <w:t>承担国家</w:t>
      </w:r>
      <w:r>
        <w:rPr>
          <w:rFonts w:hint="eastAsia" w:eastAsia="仿宋_GB2312"/>
          <w:b/>
          <w:sz w:val="24"/>
          <w:lang w:eastAsia="zh-CN"/>
        </w:rPr>
        <w:t>、省部级</w:t>
      </w:r>
      <w:r>
        <w:rPr>
          <w:rFonts w:hint="eastAsia" w:eastAsia="仿宋_GB2312"/>
          <w:b/>
          <w:sz w:val="24"/>
        </w:rPr>
        <w:t>课题项目一览表</w:t>
      </w:r>
    </w:p>
    <w:tbl>
      <w:tblPr>
        <w:tblStyle w:val="3"/>
        <w:tblW w:w="7947" w:type="dxa"/>
        <w:jc w:val="center"/>
        <w:tblInd w:w="3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1147"/>
        <w:gridCol w:w="2453"/>
        <w:gridCol w:w="1206"/>
        <w:gridCol w:w="868"/>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473" w:type="dxa"/>
            <w:vAlign w:val="center"/>
          </w:tcPr>
          <w:p>
            <w:pPr>
              <w:jc w:val="center"/>
              <w:rPr>
                <w:rFonts w:ascii="宋体" w:cs="宋体"/>
                <w:b/>
                <w:color w:val="000000"/>
                <w:sz w:val="18"/>
                <w:szCs w:val="18"/>
              </w:rPr>
            </w:pPr>
            <w:r>
              <w:rPr>
                <w:rFonts w:hint="eastAsia" w:ascii="宋体" w:hAnsi="宋体" w:cs="宋体"/>
                <w:b/>
                <w:color w:val="000000"/>
                <w:sz w:val="18"/>
                <w:szCs w:val="18"/>
              </w:rPr>
              <w:t>序号</w:t>
            </w:r>
          </w:p>
        </w:tc>
        <w:tc>
          <w:tcPr>
            <w:tcW w:w="1147" w:type="dxa"/>
            <w:vAlign w:val="center"/>
          </w:tcPr>
          <w:p>
            <w:pPr>
              <w:jc w:val="center"/>
              <w:rPr>
                <w:rFonts w:ascii="宋体" w:cs="宋体"/>
                <w:b/>
                <w:color w:val="000000"/>
                <w:sz w:val="18"/>
                <w:szCs w:val="18"/>
              </w:rPr>
            </w:pPr>
            <w:r>
              <w:rPr>
                <w:rFonts w:hint="eastAsia" w:ascii="宋体" w:hAnsi="宋体" w:cs="宋体"/>
                <w:b/>
                <w:color w:val="000000"/>
                <w:sz w:val="18"/>
                <w:szCs w:val="18"/>
              </w:rPr>
              <w:t>项目编号</w:t>
            </w:r>
          </w:p>
        </w:tc>
        <w:tc>
          <w:tcPr>
            <w:tcW w:w="2453" w:type="dxa"/>
            <w:vAlign w:val="center"/>
          </w:tcPr>
          <w:p>
            <w:pPr>
              <w:jc w:val="center"/>
              <w:rPr>
                <w:rFonts w:ascii="宋体" w:cs="宋体"/>
                <w:b/>
                <w:color w:val="000000"/>
                <w:sz w:val="18"/>
                <w:szCs w:val="18"/>
              </w:rPr>
            </w:pPr>
            <w:r>
              <w:rPr>
                <w:rFonts w:hint="eastAsia" w:ascii="宋体" w:hAnsi="宋体" w:cs="宋体"/>
                <w:b/>
                <w:color w:val="000000"/>
                <w:sz w:val="18"/>
                <w:szCs w:val="18"/>
              </w:rPr>
              <w:t>项目名称</w:t>
            </w:r>
          </w:p>
        </w:tc>
        <w:tc>
          <w:tcPr>
            <w:tcW w:w="1206" w:type="dxa"/>
            <w:vAlign w:val="center"/>
          </w:tcPr>
          <w:p>
            <w:pPr>
              <w:jc w:val="center"/>
              <w:rPr>
                <w:rFonts w:ascii="宋体" w:cs="宋体"/>
                <w:b/>
                <w:color w:val="000000"/>
                <w:sz w:val="18"/>
                <w:szCs w:val="18"/>
              </w:rPr>
            </w:pPr>
            <w:r>
              <w:rPr>
                <w:rFonts w:hint="eastAsia" w:ascii="宋体" w:hAnsi="宋体" w:cs="宋体"/>
                <w:b/>
                <w:color w:val="000000"/>
                <w:sz w:val="18"/>
                <w:szCs w:val="18"/>
              </w:rPr>
              <w:t>起止</w:t>
            </w:r>
          </w:p>
          <w:p>
            <w:pPr>
              <w:jc w:val="center"/>
              <w:rPr>
                <w:rFonts w:ascii="宋体" w:cs="宋体"/>
                <w:b/>
                <w:color w:val="000000"/>
                <w:sz w:val="18"/>
                <w:szCs w:val="18"/>
              </w:rPr>
            </w:pPr>
            <w:r>
              <w:rPr>
                <w:rFonts w:hint="eastAsia" w:ascii="宋体" w:hAnsi="宋体" w:cs="宋体"/>
                <w:b/>
                <w:color w:val="000000"/>
                <w:sz w:val="18"/>
                <w:szCs w:val="18"/>
              </w:rPr>
              <w:t>时间</w:t>
            </w:r>
          </w:p>
        </w:tc>
        <w:tc>
          <w:tcPr>
            <w:tcW w:w="868" w:type="dxa"/>
            <w:vAlign w:val="center"/>
          </w:tcPr>
          <w:p>
            <w:pPr>
              <w:jc w:val="center"/>
              <w:rPr>
                <w:rFonts w:ascii="宋体" w:cs="宋体"/>
                <w:b/>
                <w:color w:val="000000"/>
                <w:sz w:val="18"/>
                <w:szCs w:val="18"/>
              </w:rPr>
            </w:pPr>
            <w:r>
              <w:rPr>
                <w:rFonts w:hint="eastAsia" w:ascii="宋体" w:hAnsi="宋体" w:cs="宋体"/>
                <w:b/>
                <w:color w:val="000000"/>
                <w:sz w:val="18"/>
                <w:szCs w:val="18"/>
              </w:rPr>
              <w:t>负责人</w:t>
            </w:r>
          </w:p>
        </w:tc>
        <w:tc>
          <w:tcPr>
            <w:tcW w:w="1800" w:type="dxa"/>
            <w:vAlign w:val="center"/>
          </w:tcPr>
          <w:p>
            <w:pPr>
              <w:jc w:val="center"/>
              <w:rPr>
                <w:rFonts w:ascii="宋体" w:cs="宋体"/>
                <w:b/>
                <w:color w:val="000000"/>
                <w:sz w:val="18"/>
                <w:szCs w:val="18"/>
              </w:rPr>
            </w:pPr>
            <w:r>
              <w:rPr>
                <w:rFonts w:hint="eastAsia" w:ascii="宋体" w:hAnsi="宋体" w:cs="宋体"/>
                <w:b/>
                <w:color w:val="000000"/>
                <w:sz w:val="18"/>
                <w:szCs w:val="18"/>
              </w:rPr>
              <w:t>项目来源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473" w:type="dxa"/>
            <w:vAlign w:val="center"/>
          </w:tcPr>
          <w:p>
            <w:pPr>
              <w:jc w:val="center"/>
              <w:rPr>
                <w:rFonts w:ascii="宋体" w:cs="宋体"/>
                <w:color w:val="000000"/>
                <w:sz w:val="18"/>
                <w:szCs w:val="18"/>
              </w:rPr>
            </w:pPr>
            <w:r>
              <w:rPr>
                <w:rFonts w:ascii="宋体" w:hAnsi="宋体" w:cs="宋体"/>
                <w:color w:val="000000"/>
                <w:sz w:val="18"/>
                <w:szCs w:val="18"/>
              </w:rPr>
              <w:t>1</w:t>
            </w:r>
          </w:p>
        </w:tc>
        <w:tc>
          <w:tcPr>
            <w:tcW w:w="1147" w:type="dxa"/>
            <w:vAlign w:val="center"/>
          </w:tcPr>
          <w:p>
            <w:pPr>
              <w:widowControl/>
              <w:jc w:val="center"/>
              <w:textAlignment w:val="bottom"/>
              <w:rPr>
                <w:rFonts w:ascii="宋体" w:cs="宋体"/>
                <w:color w:val="000000"/>
                <w:kern w:val="0"/>
                <w:sz w:val="18"/>
                <w:szCs w:val="18"/>
              </w:rPr>
            </w:pPr>
            <w:r>
              <w:rPr>
                <w:rFonts w:ascii="宋体" w:hAnsi="宋体" w:cs="宋体"/>
                <w:color w:val="000000"/>
                <w:kern w:val="0"/>
                <w:sz w:val="18"/>
                <w:szCs w:val="18"/>
              </w:rPr>
              <w:t>09BTY013</w:t>
            </w:r>
          </w:p>
        </w:tc>
        <w:tc>
          <w:tcPr>
            <w:tcW w:w="2453" w:type="dxa"/>
            <w:vAlign w:val="center"/>
          </w:tcPr>
          <w:p>
            <w:pPr>
              <w:widowControl/>
              <w:jc w:val="center"/>
              <w:textAlignment w:val="bottom"/>
              <w:rPr>
                <w:rFonts w:ascii="宋体" w:cs="宋体"/>
                <w:color w:val="000000"/>
                <w:kern w:val="0"/>
                <w:sz w:val="18"/>
                <w:szCs w:val="18"/>
              </w:rPr>
            </w:pPr>
            <w:r>
              <w:rPr>
                <w:rFonts w:hint="eastAsia" w:ascii="宋体" w:hAnsi="宋体" w:cs="宋体"/>
                <w:color w:val="000000"/>
                <w:kern w:val="0"/>
                <w:sz w:val="18"/>
                <w:szCs w:val="18"/>
              </w:rPr>
              <w:t>比较优势理论视野下晋江体育城市发展路径研究</w:t>
            </w:r>
          </w:p>
        </w:tc>
        <w:tc>
          <w:tcPr>
            <w:tcW w:w="1206" w:type="dxa"/>
            <w:vAlign w:val="center"/>
          </w:tcPr>
          <w:p>
            <w:pPr>
              <w:widowControl/>
              <w:jc w:val="center"/>
              <w:textAlignment w:val="bottom"/>
              <w:rPr>
                <w:rFonts w:ascii="宋体" w:cs="宋体"/>
                <w:color w:val="000000"/>
                <w:kern w:val="0"/>
                <w:sz w:val="18"/>
                <w:szCs w:val="18"/>
              </w:rPr>
            </w:pPr>
            <w:r>
              <w:rPr>
                <w:rFonts w:ascii="宋体" w:hAnsi="宋体" w:cs="宋体"/>
                <w:color w:val="000000"/>
                <w:kern w:val="0"/>
                <w:sz w:val="18"/>
                <w:szCs w:val="18"/>
              </w:rPr>
              <w:t>2009-2013</w:t>
            </w:r>
          </w:p>
        </w:tc>
        <w:tc>
          <w:tcPr>
            <w:tcW w:w="868" w:type="dxa"/>
            <w:vAlign w:val="center"/>
          </w:tcPr>
          <w:p>
            <w:pPr>
              <w:widowControl/>
              <w:jc w:val="center"/>
              <w:textAlignment w:val="bottom"/>
              <w:rPr>
                <w:rFonts w:ascii="宋体" w:cs="宋体"/>
                <w:color w:val="000000"/>
                <w:kern w:val="0"/>
                <w:sz w:val="18"/>
                <w:szCs w:val="18"/>
              </w:rPr>
            </w:pPr>
            <w:r>
              <w:rPr>
                <w:rFonts w:hint="eastAsia" w:ascii="宋体" w:hAnsi="宋体" w:cs="宋体"/>
                <w:color w:val="000000"/>
                <w:kern w:val="0"/>
                <w:sz w:val="18"/>
                <w:szCs w:val="18"/>
              </w:rPr>
              <w:t>许月云</w:t>
            </w:r>
          </w:p>
        </w:tc>
        <w:tc>
          <w:tcPr>
            <w:tcW w:w="1800" w:type="dxa"/>
            <w:vAlign w:val="center"/>
          </w:tcPr>
          <w:p>
            <w:pPr>
              <w:widowControl/>
              <w:jc w:val="center"/>
              <w:textAlignment w:val="bottom"/>
              <w:rPr>
                <w:rFonts w:ascii="宋体" w:cs="宋体"/>
                <w:color w:val="000000"/>
                <w:kern w:val="0"/>
                <w:sz w:val="18"/>
                <w:szCs w:val="18"/>
              </w:rPr>
            </w:pPr>
            <w:r>
              <w:rPr>
                <w:rFonts w:hint="eastAsia" w:ascii="宋体" w:hAnsi="宋体" w:cs="宋体"/>
                <w:color w:val="000000"/>
                <w:kern w:val="0"/>
                <w:sz w:val="18"/>
                <w:szCs w:val="18"/>
              </w:rPr>
              <w:t>全国哲学社会科学规划办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473" w:type="dxa"/>
            <w:vAlign w:val="center"/>
          </w:tcPr>
          <w:p>
            <w:pPr>
              <w:jc w:val="center"/>
              <w:rPr>
                <w:rFonts w:ascii="宋体" w:cs="宋体"/>
                <w:color w:val="000000"/>
                <w:sz w:val="18"/>
                <w:szCs w:val="18"/>
              </w:rPr>
            </w:pPr>
            <w:r>
              <w:rPr>
                <w:rFonts w:ascii="宋体" w:hAnsi="宋体" w:cs="宋体"/>
                <w:color w:val="000000"/>
                <w:sz w:val="18"/>
                <w:szCs w:val="18"/>
              </w:rPr>
              <w:t>2</w:t>
            </w:r>
          </w:p>
        </w:tc>
        <w:tc>
          <w:tcPr>
            <w:tcW w:w="1147" w:type="dxa"/>
            <w:vAlign w:val="center"/>
          </w:tcPr>
          <w:p>
            <w:pPr>
              <w:widowControl/>
              <w:jc w:val="center"/>
              <w:textAlignment w:val="bottom"/>
              <w:rPr>
                <w:rFonts w:ascii="宋体" w:cs="宋体"/>
                <w:color w:val="000000"/>
                <w:kern w:val="0"/>
                <w:sz w:val="18"/>
                <w:szCs w:val="18"/>
              </w:rPr>
            </w:pPr>
            <w:r>
              <w:rPr>
                <w:rFonts w:ascii="宋体" w:hAnsi="宋体"/>
                <w:sz w:val="18"/>
                <w:szCs w:val="18"/>
              </w:rPr>
              <w:t>12CTY002</w:t>
            </w:r>
          </w:p>
        </w:tc>
        <w:tc>
          <w:tcPr>
            <w:tcW w:w="2453" w:type="dxa"/>
            <w:vAlign w:val="center"/>
          </w:tcPr>
          <w:p>
            <w:pPr>
              <w:widowControl/>
              <w:jc w:val="center"/>
              <w:textAlignment w:val="bottom"/>
              <w:rPr>
                <w:rFonts w:ascii="宋体"/>
                <w:color w:val="000000"/>
                <w:sz w:val="18"/>
                <w:szCs w:val="18"/>
              </w:rPr>
            </w:pPr>
            <w:r>
              <w:rPr>
                <w:rFonts w:hint="eastAsia" w:ascii="宋体" w:hAnsi="宋体"/>
                <w:sz w:val="18"/>
                <w:szCs w:val="18"/>
              </w:rPr>
              <w:t>中国武术审美文化的现代转变及发展模式研究</w:t>
            </w:r>
          </w:p>
        </w:tc>
        <w:tc>
          <w:tcPr>
            <w:tcW w:w="1206" w:type="dxa"/>
            <w:vAlign w:val="center"/>
          </w:tcPr>
          <w:p>
            <w:pPr>
              <w:widowControl/>
              <w:jc w:val="center"/>
              <w:textAlignment w:val="bottom"/>
              <w:rPr>
                <w:rFonts w:ascii="宋体" w:cs="宋体"/>
                <w:color w:val="000000"/>
                <w:kern w:val="0"/>
                <w:sz w:val="18"/>
                <w:szCs w:val="18"/>
              </w:rPr>
            </w:pPr>
            <w:r>
              <w:rPr>
                <w:rFonts w:ascii="宋体" w:hAnsi="宋体" w:cs="宋体"/>
                <w:color w:val="000000"/>
                <w:kern w:val="0"/>
                <w:sz w:val="18"/>
                <w:szCs w:val="18"/>
              </w:rPr>
              <w:t>2012-2015</w:t>
            </w:r>
          </w:p>
        </w:tc>
        <w:tc>
          <w:tcPr>
            <w:tcW w:w="868" w:type="dxa"/>
            <w:vAlign w:val="center"/>
          </w:tcPr>
          <w:p>
            <w:pPr>
              <w:widowControl/>
              <w:jc w:val="center"/>
              <w:textAlignment w:val="bottom"/>
              <w:rPr>
                <w:rFonts w:ascii="宋体" w:cs="宋体"/>
                <w:color w:val="000000"/>
                <w:kern w:val="0"/>
                <w:sz w:val="18"/>
                <w:szCs w:val="18"/>
              </w:rPr>
            </w:pPr>
            <w:r>
              <w:rPr>
                <w:rFonts w:hint="eastAsia" w:ascii="宋体" w:hAnsi="宋体" w:cs="宋体"/>
                <w:color w:val="000000"/>
                <w:kern w:val="0"/>
                <w:sz w:val="18"/>
                <w:szCs w:val="18"/>
              </w:rPr>
              <w:t>马文友</w:t>
            </w:r>
          </w:p>
        </w:tc>
        <w:tc>
          <w:tcPr>
            <w:tcW w:w="1800" w:type="dxa"/>
            <w:vAlign w:val="center"/>
          </w:tcPr>
          <w:p>
            <w:pPr>
              <w:widowControl/>
              <w:jc w:val="center"/>
              <w:textAlignment w:val="bottom"/>
              <w:rPr>
                <w:rFonts w:ascii="宋体" w:cs="宋体"/>
                <w:color w:val="000000"/>
                <w:kern w:val="0"/>
                <w:sz w:val="18"/>
                <w:szCs w:val="18"/>
              </w:rPr>
            </w:pPr>
            <w:r>
              <w:rPr>
                <w:rFonts w:hint="eastAsia" w:ascii="宋体" w:hAnsi="宋体" w:cs="宋体"/>
                <w:color w:val="000000"/>
                <w:kern w:val="0"/>
                <w:sz w:val="18"/>
                <w:szCs w:val="18"/>
              </w:rPr>
              <w:t>全国哲学社会科学规划办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ascii="宋体"/>
                <w:sz w:val="18"/>
                <w:szCs w:val="18"/>
              </w:rPr>
            </w:pPr>
            <w:r>
              <w:rPr>
                <w:rFonts w:ascii="宋体" w:hAnsi="宋体"/>
                <w:sz w:val="18"/>
                <w:szCs w:val="18"/>
              </w:rPr>
              <w:t>3</w:t>
            </w:r>
          </w:p>
        </w:tc>
        <w:tc>
          <w:tcPr>
            <w:tcW w:w="1147" w:type="dxa"/>
            <w:vAlign w:val="center"/>
          </w:tcPr>
          <w:p>
            <w:pPr>
              <w:widowControl/>
              <w:jc w:val="center"/>
              <w:textAlignment w:val="bottom"/>
              <w:rPr>
                <w:rFonts w:ascii="宋体"/>
                <w:sz w:val="18"/>
                <w:szCs w:val="18"/>
              </w:rPr>
            </w:pPr>
            <w:r>
              <w:rPr>
                <w:rFonts w:ascii="宋体" w:hAnsi="宋体"/>
                <w:sz w:val="18"/>
                <w:szCs w:val="18"/>
              </w:rPr>
              <w:t>16BTY032</w:t>
            </w:r>
          </w:p>
        </w:tc>
        <w:tc>
          <w:tcPr>
            <w:tcW w:w="2453" w:type="dxa"/>
            <w:vAlign w:val="center"/>
          </w:tcPr>
          <w:p>
            <w:pPr>
              <w:widowControl/>
              <w:jc w:val="center"/>
              <w:textAlignment w:val="bottom"/>
              <w:rPr>
                <w:rFonts w:ascii="宋体"/>
                <w:sz w:val="18"/>
                <w:szCs w:val="18"/>
              </w:rPr>
            </w:pPr>
            <w:r>
              <w:rPr>
                <w:rFonts w:hint="eastAsia" w:ascii="宋体" w:hAnsi="宋体"/>
                <w:sz w:val="18"/>
                <w:szCs w:val="18"/>
              </w:rPr>
              <w:t>我国城市学校体育场馆资源与社会共享困境的利益博弈与消解路径研究</w:t>
            </w:r>
          </w:p>
        </w:tc>
        <w:tc>
          <w:tcPr>
            <w:tcW w:w="1206" w:type="dxa"/>
            <w:vAlign w:val="center"/>
          </w:tcPr>
          <w:p>
            <w:pPr>
              <w:widowControl/>
              <w:jc w:val="center"/>
              <w:textAlignment w:val="bottom"/>
              <w:rPr>
                <w:rFonts w:ascii="宋体"/>
                <w:sz w:val="18"/>
                <w:szCs w:val="18"/>
              </w:rPr>
            </w:pPr>
            <w:r>
              <w:rPr>
                <w:rFonts w:ascii="宋体" w:hAnsi="宋体"/>
                <w:sz w:val="18"/>
                <w:szCs w:val="18"/>
              </w:rPr>
              <w:t>2016-2019</w:t>
            </w:r>
          </w:p>
        </w:tc>
        <w:tc>
          <w:tcPr>
            <w:tcW w:w="868" w:type="dxa"/>
            <w:vAlign w:val="center"/>
          </w:tcPr>
          <w:p>
            <w:pPr>
              <w:widowControl/>
              <w:jc w:val="center"/>
              <w:textAlignment w:val="bottom"/>
              <w:rPr>
                <w:rFonts w:ascii="宋体"/>
                <w:sz w:val="18"/>
                <w:szCs w:val="18"/>
              </w:rPr>
            </w:pPr>
            <w:r>
              <w:rPr>
                <w:rFonts w:hint="eastAsia" w:ascii="宋体" w:hAnsi="宋体"/>
                <w:sz w:val="18"/>
                <w:szCs w:val="18"/>
              </w:rPr>
              <w:t>许月云</w:t>
            </w:r>
          </w:p>
        </w:tc>
        <w:tc>
          <w:tcPr>
            <w:tcW w:w="1800" w:type="dxa"/>
            <w:vAlign w:val="center"/>
          </w:tcPr>
          <w:p>
            <w:pPr>
              <w:widowControl/>
              <w:jc w:val="center"/>
              <w:textAlignment w:val="bottom"/>
              <w:rPr>
                <w:rFonts w:ascii="宋体"/>
                <w:sz w:val="18"/>
                <w:szCs w:val="18"/>
              </w:rPr>
            </w:pPr>
            <w:r>
              <w:rPr>
                <w:rFonts w:hint="eastAsia" w:ascii="宋体" w:hAnsi="宋体"/>
                <w:sz w:val="18"/>
                <w:szCs w:val="18"/>
              </w:rPr>
              <w:t>全国哲学社会科学规划办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4</w:t>
            </w:r>
          </w:p>
        </w:tc>
        <w:tc>
          <w:tcPr>
            <w:tcW w:w="1147" w:type="dxa"/>
            <w:textDirection w:val="lrTb"/>
            <w:vAlign w:val="center"/>
          </w:tcPr>
          <w:p>
            <w:pPr>
              <w:widowControl/>
              <w:jc w:val="center"/>
              <w:textAlignment w:val="bottom"/>
              <w:rPr>
                <w:rFonts w:ascii="宋体" w:hAnsi="宋体"/>
                <w:sz w:val="18"/>
                <w:szCs w:val="18"/>
              </w:rPr>
            </w:pPr>
            <w:r>
              <w:rPr>
                <w:rFonts w:ascii="宋体" w:hAnsi="宋体" w:cs="宋体"/>
                <w:color w:val="000000"/>
                <w:kern w:val="0"/>
                <w:sz w:val="18"/>
                <w:szCs w:val="18"/>
              </w:rPr>
              <w:t>2016J01680</w:t>
            </w:r>
          </w:p>
        </w:tc>
        <w:tc>
          <w:tcPr>
            <w:tcW w:w="2453" w:type="dxa"/>
            <w:textDirection w:val="lrTb"/>
            <w:vAlign w:val="center"/>
          </w:tcPr>
          <w:p>
            <w:pPr>
              <w:widowControl/>
              <w:jc w:val="center"/>
              <w:textAlignment w:val="bottom"/>
              <w:rPr>
                <w:rFonts w:hint="eastAsia" w:ascii="宋体" w:hAnsi="宋体"/>
                <w:sz w:val="18"/>
                <w:szCs w:val="18"/>
              </w:rPr>
            </w:pPr>
            <w:r>
              <w:rPr>
                <w:rFonts w:ascii="宋体" w:hAnsi="宋体" w:cs="宋体"/>
                <w:color w:val="000000"/>
                <w:kern w:val="0"/>
                <w:sz w:val="18"/>
                <w:szCs w:val="18"/>
              </w:rPr>
              <w:t>"</w:t>
            </w:r>
            <w:r>
              <w:rPr>
                <w:rFonts w:hint="eastAsia" w:ascii="宋体" w:hAnsi="宋体" w:cs="宋体"/>
                <w:color w:val="000000"/>
                <w:kern w:val="0"/>
                <w:sz w:val="18"/>
                <w:szCs w:val="18"/>
              </w:rPr>
              <w:t>生物力学感测科技于运动鞋舒适性功能之应用</w:t>
            </w:r>
            <w:r>
              <w:rPr>
                <w:rFonts w:ascii="宋体" w:hAnsi="宋体" w:cs="宋体"/>
                <w:color w:val="000000"/>
                <w:kern w:val="0"/>
                <w:sz w:val="18"/>
                <w:szCs w:val="18"/>
              </w:rPr>
              <w:t>"</w:t>
            </w:r>
          </w:p>
        </w:tc>
        <w:tc>
          <w:tcPr>
            <w:tcW w:w="1206" w:type="dxa"/>
            <w:textDirection w:val="lrTb"/>
            <w:vAlign w:val="center"/>
          </w:tcPr>
          <w:p>
            <w:pPr>
              <w:widowControl/>
              <w:jc w:val="center"/>
              <w:textAlignment w:val="bottom"/>
              <w:rPr>
                <w:rFonts w:ascii="宋体" w:hAnsi="宋体"/>
                <w:sz w:val="18"/>
                <w:szCs w:val="18"/>
              </w:rPr>
            </w:pPr>
            <w:r>
              <w:rPr>
                <w:rFonts w:ascii="宋体" w:hAnsi="宋体" w:cs="宋体"/>
                <w:color w:val="000000"/>
                <w:kern w:val="0"/>
                <w:sz w:val="18"/>
                <w:szCs w:val="18"/>
              </w:rPr>
              <w:t>2016-2019</w:t>
            </w:r>
          </w:p>
        </w:tc>
        <w:tc>
          <w:tcPr>
            <w:tcW w:w="868" w:type="dxa"/>
            <w:textDirection w:val="lrTb"/>
            <w:vAlign w:val="center"/>
          </w:tcPr>
          <w:p>
            <w:pPr>
              <w:widowControl/>
              <w:jc w:val="center"/>
              <w:textAlignment w:val="bottom"/>
              <w:rPr>
                <w:rFonts w:hint="eastAsia" w:ascii="宋体" w:hAnsi="宋体"/>
                <w:sz w:val="18"/>
                <w:szCs w:val="18"/>
              </w:rPr>
            </w:pPr>
            <w:r>
              <w:rPr>
                <w:rFonts w:hint="eastAsia" w:ascii="宋体" w:hAnsi="宋体" w:cs="宋体"/>
                <w:color w:val="000000"/>
                <w:kern w:val="0"/>
                <w:sz w:val="18"/>
                <w:szCs w:val="18"/>
              </w:rPr>
              <w:t>于海滨</w:t>
            </w:r>
          </w:p>
        </w:tc>
        <w:tc>
          <w:tcPr>
            <w:tcW w:w="1800" w:type="dxa"/>
            <w:textDirection w:val="lrTb"/>
            <w:vAlign w:val="center"/>
          </w:tcPr>
          <w:p>
            <w:pPr>
              <w:widowControl/>
              <w:jc w:val="center"/>
              <w:textAlignment w:val="bottom"/>
              <w:rPr>
                <w:rFonts w:hint="eastAsia" w:ascii="宋体" w:hAnsi="宋体"/>
                <w:sz w:val="18"/>
                <w:szCs w:val="18"/>
              </w:rPr>
            </w:pPr>
            <w:r>
              <w:rPr>
                <w:rFonts w:hint="eastAsia" w:ascii="宋体" w:hAnsi="宋体" w:cs="宋体"/>
                <w:color w:val="000000"/>
                <w:kern w:val="0"/>
                <w:sz w:val="18"/>
                <w:szCs w:val="18"/>
              </w:rPr>
              <w:t>福建省科技厅自然基金项目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5</w:t>
            </w:r>
          </w:p>
        </w:tc>
        <w:tc>
          <w:tcPr>
            <w:tcW w:w="1147" w:type="dxa"/>
            <w:textDirection w:val="lrTb"/>
            <w:vAlign w:val="center"/>
          </w:tcPr>
          <w:p>
            <w:pPr>
              <w:widowControl/>
              <w:jc w:val="center"/>
              <w:textAlignment w:val="bottom"/>
              <w:rPr>
                <w:rFonts w:ascii="宋体" w:hAnsi="宋体" w:cs="宋体"/>
                <w:color w:val="000000"/>
                <w:kern w:val="0"/>
                <w:sz w:val="18"/>
                <w:szCs w:val="18"/>
              </w:rPr>
            </w:pPr>
            <w:r>
              <w:rPr>
                <w:rFonts w:hint="eastAsia" w:ascii="宋体" w:hAnsi="宋体" w:eastAsia="宋体" w:cs="宋体"/>
                <w:i w:val="0"/>
                <w:color w:val="000000"/>
                <w:kern w:val="0"/>
                <w:sz w:val="20"/>
                <w:szCs w:val="20"/>
                <w:u w:val="none"/>
                <w:lang w:val="en-US" w:eastAsia="zh-CN" w:bidi="ar"/>
              </w:rPr>
              <w:t>FJ2016B163</w:t>
            </w:r>
          </w:p>
        </w:tc>
        <w:tc>
          <w:tcPr>
            <w:tcW w:w="2453" w:type="dxa"/>
            <w:textDirection w:val="lrTb"/>
            <w:vAlign w:val="center"/>
          </w:tcPr>
          <w:p>
            <w:pPr>
              <w:widowControl/>
              <w:jc w:val="center"/>
              <w:textAlignment w:val="bottom"/>
              <w:rPr>
                <w:rFonts w:ascii="宋体" w:hAnsi="宋体" w:cs="宋体"/>
                <w:color w:val="000000"/>
                <w:kern w:val="0"/>
                <w:sz w:val="18"/>
                <w:szCs w:val="18"/>
              </w:rPr>
            </w:pPr>
            <w:r>
              <w:rPr>
                <w:rFonts w:hint="eastAsia" w:ascii="宋体" w:hAnsi="宋体" w:eastAsia="宋体" w:cs="宋体"/>
                <w:i w:val="0"/>
                <w:color w:val="000000"/>
                <w:kern w:val="0"/>
                <w:sz w:val="20"/>
                <w:szCs w:val="20"/>
                <w:u w:val="none"/>
                <w:lang w:val="en-US" w:eastAsia="zh-CN" w:bidi="ar"/>
              </w:rPr>
              <w:t>福建武术文化生态建设与经济社会发展研究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2016-2019</w:t>
            </w:r>
          </w:p>
        </w:tc>
        <w:tc>
          <w:tcPr>
            <w:tcW w:w="868"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马文友</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lang w:eastAsia="zh-CN"/>
              </w:rPr>
              <w:t>福建省社科规划办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6</w:t>
            </w:r>
          </w:p>
        </w:tc>
        <w:tc>
          <w:tcPr>
            <w:tcW w:w="1147" w:type="dxa"/>
            <w:textDirection w:val="lrTb"/>
            <w:vAlign w:val="center"/>
          </w:tcPr>
          <w:p>
            <w:pPr>
              <w:widowControl/>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FJ2016B167</w:t>
            </w:r>
          </w:p>
        </w:tc>
        <w:tc>
          <w:tcPr>
            <w:tcW w:w="2453" w:type="dxa"/>
            <w:textDirection w:val="lrTb"/>
            <w:vAlign w:val="center"/>
          </w:tcPr>
          <w:p>
            <w:pPr>
              <w:widowControl/>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闽南家族文化与宋江阵民俗体育的互动研究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2016-2019</w:t>
            </w:r>
          </w:p>
        </w:tc>
        <w:tc>
          <w:tcPr>
            <w:tcW w:w="868" w:type="dxa"/>
            <w:textDirection w:val="lrTb"/>
            <w:vAlign w:val="center"/>
          </w:tcPr>
          <w:p>
            <w:pPr>
              <w:widowControl/>
              <w:jc w:val="center"/>
              <w:textAlignment w:val="bottom"/>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杜德全</w:t>
            </w:r>
          </w:p>
        </w:tc>
        <w:tc>
          <w:tcPr>
            <w:tcW w:w="1800" w:type="dxa"/>
            <w:textDirection w:val="lrTb"/>
            <w:vAlign w:val="center"/>
          </w:tcPr>
          <w:p>
            <w:pPr>
              <w:widowControl/>
              <w:jc w:val="center"/>
              <w:textAlignment w:val="bottom"/>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福建省社科规划办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7</w:t>
            </w:r>
          </w:p>
        </w:tc>
        <w:tc>
          <w:tcPr>
            <w:tcW w:w="1147" w:type="dxa"/>
            <w:textDirection w:val="lrTb"/>
            <w:vAlign w:val="center"/>
          </w:tcPr>
          <w:p>
            <w:pPr>
              <w:widowControl/>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FJ2016C086</w:t>
            </w:r>
          </w:p>
        </w:tc>
        <w:tc>
          <w:tcPr>
            <w:tcW w:w="2453" w:type="dxa"/>
            <w:textDirection w:val="lrTb"/>
            <w:vAlign w:val="center"/>
          </w:tcPr>
          <w:p>
            <w:pPr>
              <w:widowControl/>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海丝体育用品城市联盟构架及策略研究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2016-2019</w:t>
            </w:r>
          </w:p>
        </w:tc>
        <w:tc>
          <w:tcPr>
            <w:tcW w:w="868" w:type="dxa"/>
            <w:textDirection w:val="lrTb"/>
            <w:vAlign w:val="center"/>
          </w:tcPr>
          <w:p>
            <w:pPr>
              <w:widowControl/>
              <w:jc w:val="center"/>
              <w:textAlignment w:val="bottom"/>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李  元</w:t>
            </w:r>
          </w:p>
        </w:tc>
        <w:tc>
          <w:tcPr>
            <w:tcW w:w="1800" w:type="dxa"/>
            <w:textDirection w:val="lrTb"/>
            <w:vAlign w:val="center"/>
          </w:tcPr>
          <w:p>
            <w:pPr>
              <w:widowControl/>
              <w:jc w:val="center"/>
              <w:textAlignment w:val="bottom"/>
              <w:rPr>
                <w:rFonts w:hint="eastAsia" w:ascii="宋体" w:hAnsi="宋体" w:cs="宋体"/>
                <w:color w:val="000000"/>
                <w:kern w:val="0"/>
                <w:sz w:val="18"/>
                <w:szCs w:val="18"/>
                <w:lang w:eastAsia="zh-CN"/>
              </w:rPr>
            </w:pPr>
            <w:r>
              <w:rPr>
                <w:rFonts w:hint="eastAsia" w:ascii="宋体" w:hAnsi="宋体" w:cs="宋体"/>
                <w:color w:val="000000"/>
                <w:kern w:val="0"/>
                <w:sz w:val="18"/>
                <w:szCs w:val="18"/>
                <w:lang w:eastAsia="zh-CN"/>
              </w:rPr>
              <w:t>福建省社科规划办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8</w:t>
            </w:r>
          </w:p>
        </w:tc>
        <w:tc>
          <w:tcPr>
            <w:tcW w:w="1147" w:type="dxa"/>
            <w:textDirection w:val="lrTb"/>
            <w:vAlign w:val="center"/>
          </w:tcPr>
          <w:p>
            <w:pPr>
              <w:widowControl/>
              <w:jc w:val="center"/>
              <w:textAlignment w:val="bottom"/>
              <w:rPr>
                <w:rFonts w:hint="eastAsia" w:ascii="宋体" w:hAnsi="宋体" w:eastAsia="宋体" w:cs="宋体"/>
                <w:i w:val="0"/>
                <w:color w:val="000000"/>
                <w:kern w:val="0"/>
                <w:sz w:val="20"/>
                <w:szCs w:val="20"/>
                <w:u w:val="none"/>
                <w:lang w:val="en-US" w:eastAsia="zh-CN" w:bidi="ar"/>
              </w:rPr>
            </w:pPr>
            <w:r>
              <w:rPr>
                <w:rFonts w:ascii="宋体" w:hAnsi="宋体" w:cs="宋体"/>
                <w:color w:val="000000"/>
                <w:kern w:val="0"/>
                <w:sz w:val="18"/>
                <w:szCs w:val="18"/>
              </w:rPr>
              <w:t>2014B147</w:t>
            </w:r>
          </w:p>
        </w:tc>
        <w:tc>
          <w:tcPr>
            <w:tcW w:w="2453" w:type="dxa"/>
            <w:textDirection w:val="lrTb"/>
            <w:vAlign w:val="center"/>
          </w:tcPr>
          <w:p>
            <w:pPr>
              <w:widowControl/>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cs="宋体"/>
                <w:color w:val="000000"/>
                <w:kern w:val="0"/>
                <w:sz w:val="18"/>
                <w:szCs w:val="18"/>
              </w:rPr>
              <w:t>基于协整理论的福建省体育场地建设现状与发展趋势研究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2014-2016</w:t>
            </w:r>
          </w:p>
        </w:tc>
        <w:tc>
          <w:tcPr>
            <w:tcW w:w="868" w:type="dxa"/>
            <w:textDirection w:val="lrTb"/>
            <w:vAlign w:val="center"/>
          </w:tcPr>
          <w:p>
            <w:pPr>
              <w:widowControl/>
              <w:jc w:val="center"/>
              <w:textAlignment w:val="bottom"/>
              <w:rPr>
                <w:rFonts w:hint="eastAsia" w:ascii="宋体" w:hAnsi="宋体" w:cs="宋体"/>
                <w:color w:val="000000"/>
                <w:kern w:val="0"/>
                <w:sz w:val="18"/>
                <w:szCs w:val="18"/>
                <w:lang w:val="en-US" w:eastAsia="zh-CN"/>
              </w:rPr>
            </w:pPr>
            <w:r>
              <w:rPr>
                <w:rFonts w:hint="eastAsia" w:ascii="宋体" w:hAnsi="宋体" w:cs="宋体"/>
                <w:color w:val="000000"/>
                <w:kern w:val="0"/>
                <w:sz w:val="18"/>
                <w:szCs w:val="18"/>
              </w:rPr>
              <w:t>许月云</w:t>
            </w:r>
          </w:p>
        </w:tc>
        <w:tc>
          <w:tcPr>
            <w:tcW w:w="1800" w:type="dxa"/>
            <w:textDirection w:val="lrTb"/>
            <w:vAlign w:val="center"/>
          </w:tcPr>
          <w:p>
            <w:pPr>
              <w:widowControl/>
              <w:jc w:val="center"/>
              <w:textAlignment w:val="bottom"/>
              <w:rPr>
                <w:rFonts w:hint="eastAsia" w:ascii="宋体" w:hAnsi="宋体" w:cs="宋体"/>
                <w:color w:val="000000"/>
                <w:kern w:val="0"/>
                <w:sz w:val="18"/>
                <w:szCs w:val="18"/>
                <w:lang w:eastAsia="zh-CN"/>
              </w:rPr>
            </w:pPr>
            <w:r>
              <w:rPr>
                <w:rFonts w:hint="eastAsia" w:ascii="宋体" w:hAnsi="宋体" w:cs="宋体"/>
                <w:color w:val="000000"/>
                <w:kern w:val="0"/>
                <w:sz w:val="18"/>
                <w:szCs w:val="18"/>
              </w:rPr>
              <w:t>福建省社科规划项目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9</w:t>
            </w:r>
          </w:p>
        </w:tc>
        <w:tc>
          <w:tcPr>
            <w:tcW w:w="1147"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2014M551482</w:t>
            </w:r>
          </w:p>
        </w:tc>
        <w:tc>
          <w:tcPr>
            <w:tcW w:w="2453"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视觉文化语境下中国武术的审美现代性研究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2014-2015</w:t>
            </w:r>
          </w:p>
        </w:tc>
        <w:tc>
          <w:tcPr>
            <w:tcW w:w="868"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马文友</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中国博士后科学基金会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10</w:t>
            </w:r>
          </w:p>
        </w:tc>
        <w:tc>
          <w:tcPr>
            <w:tcW w:w="1147"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1302066B</w:t>
            </w:r>
          </w:p>
        </w:tc>
        <w:tc>
          <w:tcPr>
            <w:tcW w:w="2453"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视觉文化对武术审美的影响及其对策研究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2013-2015</w:t>
            </w:r>
          </w:p>
        </w:tc>
        <w:tc>
          <w:tcPr>
            <w:tcW w:w="868"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马文友</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江苏省博士后科学基金会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11</w:t>
            </w:r>
          </w:p>
        </w:tc>
        <w:tc>
          <w:tcPr>
            <w:tcW w:w="1147"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2011B189</w:t>
            </w:r>
          </w:p>
        </w:tc>
        <w:tc>
          <w:tcPr>
            <w:tcW w:w="2453"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基于投入产出分析的福建省体育产业与区域经济间关系研究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2011-2012</w:t>
            </w:r>
          </w:p>
        </w:tc>
        <w:tc>
          <w:tcPr>
            <w:tcW w:w="868"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许月云</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福建省社科基金项目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12</w:t>
            </w:r>
          </w:p>
        </w:tc>
        <w:tc>
          <w:tcPr>
            <w:tcW w:w="1147"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2010B102</w:t>
            </w:r>
          </w:p>
        </w:tc>
        <w:tc>
          <w:tcPr>
            <w:tcW w:w="2453"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海峡西岸经济区民营企业体育文化建设研究（省社科规划项目）</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2010-2011</w:t>
            </w:r>
          </w:p>
        </w:tc>
        <w:tc>
          <w:tcPr>
            <w:tcW w:w="868"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李健</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福建省社科基金项目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eastAsia="宋体"/>
                <w:sz w:val="18"/>
                <w:szCs w:val="18"/>
                <w:lang w:val="en-US" w:eastAsia="zh-CN"/>
              </w:rPr>
            </w:pPr>
            <w:r>
              <w:rPr>
                <w:rFonts w:hint="eastAsia" w:ascii="宋体" w:hAnsi="宋体"/>
                <w:sz w:val="18"/>
                <w:szCs w:val="18"/>
                <w:lang w:val="en-US" w:eastAsia="zh-CN"/>
              </w:rPr>
              <w:t>13</w:t>
            </w:r>
          </w:p>
        </w:tc>
        <w:tc>
          <w:tcPr>
            <w:tcW w:w="1147" w:type="dxa"/>
            <w:textDirection w:val="lrTb"/>
            <w:vAlign w:val="center"/>
          </w:tcPr>
          <w:p>
            <w:pPr>
              <w:widowControl/>
              <w:jc w:val="center"/>
              <w:textAlignment w:val="bottom"/>
              <w:rPr>
                <w:rFonts w:ascii="宋体" w:hAnsi="宋体" w:cs="宋体"/>
                <w:color w:val="000000"/>
                <w:kern w:val="0"/>
                <w:sz w:val="18"/>
                <w:szCs w:val="18"/>
              </w:rPr>
            </w:pPr>
            <w:r>
              <w:rPr>
                <w:rFonts w:hint="eastAsia" w:ascii="宋体" w:hAnsi="宋体" w:cs="宋体"/>
                <w:color w:val="000000"/>
                <w:kern w:val="0"/>
                <w:sz w:val="18"/>
                <w:szCs w:val="18"/>
              </w:rPr>
              <w:t>09&amp;ZD054</w:t>
            </w:r>
            <w:r>
              <w:rPr>
                <w:rFonts w:hint="eastAsia" w:ascii="宋体" w:hAnsi="宋体" w:cs="宋体"/>
                <w:color w:val="000000"/>
                <w:kern w:val="0"/>
                <w:sz w:val="18"/>
                <w:szCs w:val="18"/>
                <w:lang w:val="en-US" w:eastAsia="zh-CN"/>
              </w:rPr>
              <w:t>08</w:t>
            </w:r>
          </w:p>
        </w:tc>
        <w:tc>
          <w:tcPr>
            <w:tcW w:w="2453"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lang w:eastAsia="zh-CN"/>
              </w:rPr>
              <w:t>中国体育彩票产业政策研究（国家社科基金重大项目子课题）</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hint="eastAsia" w:ascii="宋体" w:hAnsi="宋体" w:cs="宋体"/>
                <w:color w:val="000000"/>
                <w:kern w:val="0"/>
                <w:sz w:val="18"/>
                <w:szCs w:val="18"/>
                <w:lang w:val="en-US" w:eastAsia="zh-CN"/>
              </w:rPr>
              <w:t>2013-2014</w:t>
            </w:r>
          </w:p>
        </w:tc>
        <w:tc>
          <w:tcPr>
            <w:tcW w:w="868"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lang w:eastAsia="zh-CN"/>
              </w:rPr>
              <w:t>任慧涛</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全国哲学社会科学规划办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sz w:val="18"/>
                <w:szCs w:val="18"/>
                <w:lang w:val="en-US" w:eastAsia="zh-CN"/>
              </w:rPr>
            </w:pPr>
            <w:r>
              <w:rPr>
                <w:rFonts w:hint="eastAsia" w:ascii="宋体" w:hAnsi="宋体"/>
                <w:sz w:val="18"/>
                <w:szCs w:val="18"/>
                <w:lang w:val="en-US" w:eastAsia="zh-CN"/>
              </w:rPr>
              <w:t>14</w:t>
            </w:r>
          </w:p>
        </w:tc>
        <w:tc>
          <w:tcPr>
            <w:tcW w:w="1147" w:type="dxa"/>
            <w:textDirection w:val="lrTb"/>
            <w:vAlign w:val="center"/>
          </w:tcPr>
          <w:p>
            <w:pPr>
              <w:widowControl/>
              <w:jc w:val="center"/>
              <w:textAlignment w:val="bottom"/>
              <w:rPr>
                <w:rFonts w:hint="eastAsia" w:ascii="宋体" w:hAnsi="宋体" w:cs="宋体"/>
                <w:color w:val="000000"/>
                <w:kern w:val="0"/>
                <w:sz w:val="18"/>
                <w:szCs w:val="18"/>
              </w:rPr>
            </w:pPr>
            <w:r>
              <w:rPr>
                <w:rFonts w:ascii="宋体" w:hAnsi="宋体" w:cs="宋体"/>
                <w:color w:val="000000"/>
                <w:kern w:val="0"/>
                <w:sz w:val="18"/>
                <w:szCs w:val="18"/>
              </w:rPr>
              <w:t>2013C002</w:t>
            </w:r>
          </w:p>
        </w:tc>
        <w:tc>
          <w:tcPr>
            <w:tcW w:w="2453" w:type="dxa"/>
            <w:textDirection w:val="lrTb"/>
            <w:vAlign w:val="center"/>
          </w:tcPr>
          <w:p>
            <w:pPr>
              <w:widowControl/>
              <w:jc w:val="center"/>
              <w:textAlignment w:val="bottom"/>
              <w:rPr>
                <w:rFonts w:hint="eastAsia" w:ascii="宋体" w:hAnsi="宋体" w:cs="宋体"/>
                <w:color w:val="000000"/>
                <w:kern w:val="0"/>
                <w:sz w:val="18"/>
                <w:szCs w:val="18"/>
                <w:lang w:eastAsia="zh-CN"/>
              </w:rPr>
            </w:pPr>
            <w:r>
              <w:rPr>
                <w:rFonts w:hint="eastAsia" w:ascii="宋体" w:hAnsi="宋体" w:cs="宋体"/>
                <w:color w:val="000000"/>
                <w:kern w:val="0"/>
                <w:sz w:val="18"/>
                <w:szCs w:val="18"/>
              </w:rPr>
              <w:t>党的发展理路新聚焦：建设学习型、服务型、创新型的马克思主义执政党</w:t>
            </w:r>
          </w:p>
        </w:tc>
        <w:tc>
          <w:tcPr>
            <w:tcW w:w="1206" w:type="dxa"/>
            <w:textDirection w:val="lrTb"/>
            <w:vAlign w:val="center"/>
          </w:tcPr>
          <w:p>
            <w:pPr>
              <w:widowControl/>
              <w:jc w:val="center"/>
              <w:textAlignment w:val="bottom"/>
              <w:rPr>
                <w:rFonts w:hint="eastAsia" w:ascii="宋体" w:hAnsi="宋体" w:cs="宋体"/>
                <w:color w:val="000000"/>
                <w:kern w:val="0"/>
                <w:sz w:val="18"/>
                <w:szCs w:val="18"/>
                <w:lang w:val="en-US" w:eastAsia="zh-CN"/>
              </w:rPr>
            </w:pPr>
            <w:r>
              <w:rPr>
                <w:rFonts w:ascii="宋体" w:hAnsi="宋体" w:cs="宋体"/>
                <w:color w:val="000000"/>
                <w:kern w:val="0"/>
                <w:sz w:val="18"/>
                <w:szCs w:val="18"/>
              </w:rPr>
              <w:t>2013-2015</w:t>
            </w:r>
          </w:p>
        </w:tc>
        <w:tc>
          <w:tcPr>
            <w:tcW w:w="868" w:type="dxa"/>
            <w:textDirection w:val="lrTb"/>
            <w:vAlign w:val="center"/>
          </w:tcPr>
          <w:p>
            <w:pPr>
              <w:widowControl/>
              <w:jc w:val="center"/>
              <w:textAlignment w:val="bottom"/>
              <w:rPr>
                <w:rFonts w:hint="eastAsia" w:ascii="宋体" w:hAnsi="宋体" w:cs="宋体"/>
                <w:color w:val="000000"/>
                <w:kern w:val="0"/>
                <w:sz w:val="18"/>
                <w:szCs w:val="18"/>
                <w:lang w:eastAsia="zh-CN"/>
              </w:rPr>
            </w:pPr>
            <w:r>
              <w:rPr>
                <w:rFonts w:hint="eastAsia" w:ascii="宋体" w:hAnsi="宋体" w:cs="宋体"/>
                <w:color w:val="000000"/>
                <w:kern w:val="0"/>
                <w:sz w:val="18"/>
                <w:szCs w:val="18"/>
              </w:rPr>
              <w:t>常飞云</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福建省社科规划办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473" w:type="dxa"/>
            <w:vAlign w:val="center"/>
          </w:tcPr>
          <w:p>
            <w:pPr>
              <w:widowControl/>
              <w:jc w:val="center"/>
              <w:textAlignment w:val="bottom"/>
              <w:rPr>
                <w:rFonts w:hint="eastAsia" w:ascii="宋体" w:hAnsi="宋体"/>
                <w:sz w:val="18"/>
                <w:szCs w:val="18"/>
                <w:lang w:val="en-US" w:eastAsia="zh-CN"/>
              </w:rPr>
            </w:pPr>
            <w:r>
              <w:rPr>
                <w:rFonts w:hint="eastAsia" w:ascii="宋体" w:hAnsi="宋体"/>
                <w:sz w:val="18"/>
                <w:szCs w:val="18"/>
                <w:lang w:val="en-US" w:eastAsia="zh-CN"/>
              </w:rPr>
              <w:t>15</w:t>
            </w:r>
          </w:p>
        </w:tc>
        <w:tc>
          <w:tcPr>
            <w:tcW w:w="1147"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FJ2015C007</w:t>
            </w:r>
          </w:p>
        </w:tc>
        <w:tc>
          <w:tcPr>
            <w:tcW w:w="2453"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习近平全面从严治党思想研究</w:t>
            </w:r>
          </w:p>
        </w:tc>
        <w:tc>
          <w:tcPr>
            <w:tcW w:w="1206" w:type="dxa"/>
            <w:textDirection w:val="lrTb"/>
            <w:vAlign w:val="center"/>
          </w:tcPr>
          <w:p>
            <w:pPr>
              <w:widowControl/>
              <w:jc w:val="center"/>
              <w:textAlignment w:val="bottom"/>
              <w:rPr>
                <w:rFonts w:ascii="宋体" w:hAnsi="宋体" w:cs="宋体"/>
                <w:color w:val="000000"/>
                <w:kern w:val="0"/>
                <w:sz w:val="18"/>
                <w:szCs w:val="18"/>
              </w:rPr>
            </w:pPr>
            <w:r>
              <w:rPr>
                <w:rFonts w:ascii="宋体" w:hAnsi="宋体" w:cs="宋体"/>
                <w:color w:val="000000"/>
                <w:kern w:val="0"/>
                <w:sz w:val="18"/>
                <w:szCs w:val="18"/>
              </w:rPr>
              <w:t>2015-2019</w:t>
            </w:r>
          </w:p>
        </w:tc>
        <w:tc>
          <w:tcPr>
            <w:tcW w:w="868"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常飞云</w:t>
            </w:r>
          </w:p>
        </w:tc>
        <w:tc>
          <w:tcPr>
            <w:tcW w:w="1800" w:type="dxa"/>
            <w:textDirection w:val="lrTb"/>
            <w:vAlign w:val="center"/>
          </w:tcPr>
          <w:p>
            <w:pPr>
              <w:widowControl/>
              <w:jc w:val="center"/>
              <w:textAlignment w:val="bottom"/>
              <w:rPr>
                <w:rFonts w:hint="eastAsia" w:ascii="宋体" w:hAnsi="宋体" w:cs="宋体"/>
                <w:color w:val="000000"/>
                <w:kern w:val="0"/>
                <w:sz w:val="18"/>
                <w:szCs w:val="18"/>
              </w:rPr>
            </w:pPr>
            <w:r>
              <w:rPr>
                <w:rFonts w:hint="eastAsia" w:ascii="宋体" w:hAnsi="宋体" w:cs="宋体"/>
                <w:color w:val="000000"/>
                <w:kern w:val="0"/>
                <w:sz w:val="18"/>
                <w:szCs w:val="18"/>
              </w:rPr>
              <w:t>福建省社科规划办</w:t>
            </w:r>
          </w:p>
        </w:tc>
      </w:tr>
    </w:tbl>
    <w:p>
      <w: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FZSSJW--GB1-0">
    <w:altName w:val="黑体"/>
    <w:panose1 w:val="00000000000000000000"/>
    <w:charset w:val="86"/>
    <w:family w:val="auto"/>
    <w:pitch w:val="default"/>
    <w:sig w:usb0="00000000" w:usb1="00000000" w:usb2="00000010" w:usb3="00000000" w:csb0="00040000" w:csb1="00000000"/>
  </w:font>
  <w:font w:name="AdobeSongStd-Light-Acro">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 w:name="Calibri-Bold">
    <w:altName w:val="Arial"/>
    <w:panose1 w:val="00000000000000000000"/>
    <w:charset w:val="00"/>
    <w:family w:val="modern"/>
    <w:pitch w:val="default"/>
    <w:sig w:usb0="00000000" w:usb1="00000000" w:usb2="00000000" w:usb3="00000000" w:csb0="00000001" w:csb1="00000000"/>
  </w:font>
  <w:font w:name="BookAntiqua">
    <w:altName w:val="Times New Roman"/>
    <w:panose1 w:val="00000000000000000000"/>
    <w:charset w:val="00"/>
    <w:family w:val="decorative"/>
    <w:pitch w:val="default"/>
    <w:sig w:usb0="00000000" w:usb1="00000000" w:usb2="00000000" w:usb3="00000000" w:csb0="00000001" w:csb1="00000000"/>
  </w:font>
  <w:font w:name="BookAntiqua-Bold">
    <w:altName w:val="Times New Roman"/>
    <w:panose1 w:val="00000000000000000000"/>
    <w:charset w:val="00"/>
    <w:family w:val="decorative"/>
    <w:pitch w:val="default"/>
    <w:sig w:usb0="00000000" w:usb1="00000000" w:usb2="00000000" w:usb3="00000000" w:csb0="00000001" w:csb1="00000000"/>
  </w:font>
  <w:font w:name="SymbolMT">
    <w:altName w:val="MingLiU"/>
    <w:panose1 w:val="00000000000000000000"/>
    <w:charset w:val="88"/>
    <w:family w:val="auto"/>
    <w:pitch w:val="default"/>
    <w:sig w:usb0="00000000" w:usb1="00000000" w:usb2="00000010" w:usb3="00000000" w:csb0="00100000" w:csb1="00000000"/>
  </w:font>
  <w:font w:name="Arial Unicode MS">
    <w:altName w:val="宋体"/>
    <w:panose1 w:val="020B0604020202020204"/>
    <w:charset w:val="86"/>
    <w:family w:val="auto"/>
    <w:pitch w:val="default"/>
    <w:sig w:usb0="00000000" w:usb1="00000000" w:usb2="0000003F" w:usb3="00000000" w:csb0="603F01FF" w:csb1="FFFF0000"/>
  </w:font>
  <w:font w:name="MingLiU">
    <w:panose1 w:val="02020509000000000000"/>
    <w:charset w:val="88"/>
    <w:family w:val="auto"/>
    <w:pitch w:val="default"/>
    <w:sig w:usb0="A00002FF" w:usb1="28CFFCFA" w:usb2="00000016" w:usb3="00000000" w:csb0="00100001" w:csb1="00000000"/>
  </w:font>
  <w:font w:name="PMingLiU">
    <w:panose1 w:val="02020500000000000000"/>
    <w:charset w:val="88"/>
    <w:family w:val="auto"/>
    <w:pitch w:val="default"/>
    <w:sig w:usb0="A00002FF" w:usb1="28CFFCFA" w:usb2="00000016" w:usb3="00000000" w:csb0="00100001" w:csb1="00000000"/>
  </w:font>
  <w:font w:name="TimesNewRomanPSMT">
    <w:altName w:val="Times New Roman"/>
    <w:panose1 w:val="00000000000000000000"/>
    <w:charset w:val="00"/>
    <w:family w:val="modern"/>
    <w:pitch w:val="default"/>
    <w:sig w:usb0="00000000" w:usb1="00000000" w:usb2="00000000" w:usb3="00000000" w:csb0="00000001" w:csb1="00000000"/>
  </w:font>
  <w:font w:name="BookAntiqua-Italic">
    <w:altName w:val="Times New Roman"/>
    <w:panose1 w:val="00000000000000000000"/>
    <w:charset w:val="00"/>
    <w:family w:val="swiss"/>
    <w:pitch w:val="default"/>
    <w:sig w:usb0="00000000" w:usb1="00000000" w:usb2="00000000" w:usb3="00000000" w:csb0="00000001" w:csb1="0000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swiss"/>
    <w:pitch w:val="default"/>
    <w:sig w:usb0="E00002FF" w:usb1="4000ACFF" w:usb2="00000001" w:usb3="00000000" w:csb0="2000019F"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Traditional Arabic">
    <w:panose1 w:val="02020603050405020304"/>
    <w:charset w:val="00"/>
    <w:family w:val="auto"/>
    <w:pitch w:val="default"/>
    <w:sig w:usb0="00006003" w:usb1="80000000" w:usb2="00000008" w:usb3="00000000" w:csb0="00000041" w:csb1="20080000"/>
  </w:font>
  <w:font w:name="David">
    <w:panose1 w:val="020E0502060401010101"/>
    <w:charset w:val="00"/>
    <w:family w:val="auto"/>
    <w:pitch w:val="default"/>
    <w:sig w:usb0="00000801" w:usb1="00000000" w:usb2="00000000" w:usb3="00000000" w:csb0="00000020" w:csb1="00200000"/>
  </w:font>
  <w:font w:name="文鼎中楷体">
    <w:altName w:val="宋体"/>
    <w:panose1 w:val="03000600000000000000"/>
    <w:charset w:val="86"/>
    <w:family w:val="auto"/>
    <w:pitch w:val="default"/>
    <w:sig w:usb0="00000000" w:usb1="00000000" w:usb2="00000012" w:usb3="00000000" w:csb0="00040001" w:csb1="00000000"/>
  </w:font>
  <w:font w:name="锐字云字库行楷体1.0">
    <w:altName w:val="宋体"/>
    <w:panose1 w:val="02010604000000000000"/>
    <w:charset w:val="86"/>
    <w:family w:val="auto"/>
    <w:pitch w:val="default"/>
    <w:sig w:usb0="00000000" w:usb1="00000000" w:usb2="00000000"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Sakkal Majalla">
    <w:panose1 w:val="02000000000000000000"/>
    <w:charset w:val="00"/>
    <w:family w:val="auto"/>
    <w:pitch w:val="default"/>
    <w:sig w:usb0="A000207F" w:usb1="C000204B" w:usb2="00000008" w:usb3="00000000" w:csb0="200000D3"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C6F18A0"/>
    <w:rsid w:val="000B735E"/>
    <w:rsid w:val="00251A96"/>
    <w:rsid w:val="003045E5"/>
    <w:rsid w:val="003635E6"/>
    <w:rsid w:val="004F0303"/>
    <w:rsid w:val="005F44DB"/>
    <w:rsid w:val="00790B80"/>
    <w:rsid w:val="008F37BA"/>
    <w:rsid w:val="00992F71"/>
    <w:rsid w:val="00A76B13"/>
    <w:rsid w:val="00A90785"/>
    <w:rsid w:val="00BC1BEA"/>
    <w:rsid w:val="00C1136C"/>
    <w:rsid w:val="00D20679"/>
    <w:rsid w:val="094C4FF9"/>
    <w:rsid w:val="114777CD"/>
    <w:rsid w:val="16C403E4"/>
    <w:rsid w:val="1BE86C45"/>
    <w:rsid w:val="312C23A1"/>
    <w:rsid w:val="43723F8A"/>
    <w:rsid w:val="46D40709"/>
    <w:rsid w:val="4A8F735C"/>
    <w:rsid w:val="4C6F18A0"/>
    <w:rsid w:val="4C714A1F"/>
    <w:rsid w:val="4CAE389B"/>
    <w:rsid w:val="4DEB1CF8"/>
    <w:rsid w:val="4E715EC7"/>
    <w:rsid w:val="51FC3FD0"/>
    <w:rsid w:val="56435B3F"/>
    <w:rsid w:val="5FB25FB8"/>
    <w:rsid w:val="75193E04"/>
    <w:rsid w:val="761605C1"/>
    <w:rsid w:val="77F54393"/>
    <w:rsid w:val="7B2F7567"/>
    <w:rsid w:val="7B33731F"/>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99"/>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